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jc w:val="both"/>
        <w:rPr>
          <w:rFonts w:ascii="仿宋_GB2312" w:hAnsi="仿宋_GB2312" w:eastAsia="仿宋_GB2312" w:cs="仿宋_GB2312"/>
          <w:b w:val="0"/>
          <w:bCs w:val="0"/>
        </w:rPr>
      </w:pPr>
      <w:r>
        <w:rPr>
          <w:rFonts w:hint="eastAsia" w:ascii="仿宋_GB2312" w:hAnsi="仿宋_GB2312" w:eastAsia="仿宋_GB2312" w:cs="仿宋_GB2312"/>
          <w:b w:val="0"/>
          <w:bCs w:val="0"/>
        </w:rPr>
        <w:t>附件2</w:t>
      </w:r>
    </w:p>
    <w:p/>
    <w:p>
      <w:pPr>
        <w:snapToGrid w:val="0"/>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napToGrid w:val="0"/>
          <w:color w:val="000000"/>
          <w:kern w:val="0"/>
          <w:sz w:val="44"/>
          <w:szCs w:val="44"/>
        </w:rPr>
        <w:t>中国神华能源股份有限公司</w:t>
      </w:r>
      <w:r>
        <w:rPr>
          <w:rFonts w:hint="eastAsia" w:ascii="方正小标宋简体" w:hAnsi="方正小标宋简体" w:eastAsia="方正小标宋简体" w:cs="方正小标宋简体"/>
          <w:sz w:val="44"/>
          <w:szCs w:val="44"/>
        </w:rPr>
        <w:t>供应商</w:t>
      </w:r>
    </w:p>
    <w:p>
      <w:pPr>
        <w:snapToGrid w:val="0"/>
        <w:spacing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ESG评价问卷</w:t>
      </w:r>
    </w:p>
    <w:p>
      <w:pPr>
        <w:pStyle w:val="2"/>
        <w:snapToGrid w:val="0"/>
        <w:spacing w:line="440" w:lineRule="exact"/>
        <w:rPr>
          <w:rFonts w:ascii="Times New Roman" w:hAnsi="Times New Roman"/>
        </w:rPr>
      </w:pP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中国神华供应商ESG评</w:t>
      </w:r>
      <w:bookmarkStart w:id="0" w:name="_GoBack"/>
      <w:bookmarkEnd w:id="0"/>
      <w:r>
        <w:rPr>
          <w:rFonts w:hint="eastAsia" w:ascii="Times New Roman" w:hAnsi="Times New Roman" w:eastAsia="仿宋_GB2312" w:cs="仿宋_GB2312"/>
          <w:sz w:val="28"/>
          <w:szCs w:val="28"/>
        </w:rPr>
        <w:t>价问卷围绕劳工与人权、社会、环境、商业行为四大维度共设置15道题，其中基础题10道，每题10分，基础项满分100分；加分题5道，每道题10分，加分项满分50分。问卷按照“符合（10分）、待优化（5分）、不符合（0分）”三级评分，最终得分为基础题得分与加分题得分之和。评分结果将作为中国神华供应商评价分级及后续合作管理的重要依据，供应商须如实填报并按要求提供佐证材料，材料真实性将纳入后续核查</w:t>
      </w:r>
      <w:r>
        <w:rPr>
          <w:rFonts w:hint="eastAsia" w:ascii="Calibri" w:hAnsi="Calibri" w:eastAsia="仿宋_GB2312" w:cs="Calibri"/>
          <w:sz w:val="28"/>
          <w:szCs w:val="28"/>
        </w:rPr>
        <w:t>范围</w:t>
      </w:r>
      <w:r>
        <w:rPr>
          <w:rFonts w:hint="eastAsia" w:ascii="Times New Roman" w:hAnsi="Times New Roman" w:eastAsia="仿宋_GB2312" w:cs="仿宋_GB2312"/>
          <w:sz w:val="28"/>
          <w:szCs w:val="28"/>
        </w:rPr>
        <w:t>。</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一、劳工与人权</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（一）权益保障</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1.劳工风险控制流程</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1.1贵司是否制定并实施劳工风险控制流程？（基础项）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1.1.1如回答为“是”，请勾选劳工风险控制流程的具体措施：</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为公司/工厂所有员工明确分配与风险管理流程相匹配的职责与权限，包含委任高级管理人员、设立清晰的组织架构、确定负责不同劳工议题的相关人员</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制定有效的劳工与人权政策，政策主题涉及自由选择就业、童工与未成年工人、孕期或哺乳期女性员工、实习工人、合同与薪酬、员工福利、反歧视、反骚扰与暴力、结社自由与集体谈判、自主加入工会的权利</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制定有效的劳工与人权影响控制流程，说明针对上述政策的对应控制具体要求，主要包含核查、识别、补救、支持四个步骤；如针对童工，1）核查年龄记录的可靠性；2）建立可靠的身份验证系统；3）发现童工后的补救措施</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提供额外资源帮助弱势群体</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为公司/工厂所有员工开展培训课程，包含政策、流程、劳工与人权主题、工作目标与绩效等</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10.符合：已按照要求管理劳工风险，且包含全部五项具体措施-请提供支持证据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5.待优化：已按照要求管理劳工风险，但缺少部分措施-请提供支持证据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0.不符合：尚未管理劳工风险-请说明原因</w:t>
            </w:r>
          </w:p>
        </w:tc>
      </w:tr>
    </w:tbl>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2.工资和福利</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2.1贵司是否保障公司/工厂所有员工享有合理的工资和福利？（基础项）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2.1.1如回答为“是”，请勾选保障公司/工厂所有员工享有合理的工资和福利的具体措施：</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员工工资不低于当地最低工资标准</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按时足额发放工资，无克扣、拖欠情况</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为员工缴纳社会保险和住房公积金</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提供交通补贴、用餐补贴、电话补贴、住房补贴、节日礼品等福利</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10.符合：已按照要求管理员工工资和福利，且包含全部四项具体措施-请提供支持证据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5.待优化：已按照要求管理员工工资和福利，但缺少部分措施-请提供支持证据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0.不符合：尚未管理员工工资和福利-请说明原因</w:t>
            </w:r>
          </w:p>
        </w:tc>
      </w:tr>
    </w:tbl>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二、社会</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（一）职业健康与安全</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1.职业健康与安全</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1.1贵司是否制定职业健康与安全风险管理流程？（基础项）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1.1.1如回答为“是”，请勾选制定职业健康与安全风险管理流程的具体控制措施：</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为公司/工厂所有员工明确分配与风险管理流程相匹配的职责与权限，包含委任高级管理人员、设立清晰的组织架构、组建应急响应团队、指派获得认证的急救人员等</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制定有效的职业健康与安全政策，政策主题涉及孕妇/哺乳期女性、急救、化学及生物风险</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制定有效的职业健康与安全控制流程，说明针对上述政策的对应控制具体要求和一些特定的控制主题，如个人防护用品、职业事故/职业病、机器作业安全、重体力劳动/工作</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为公司/工厂所有员工展开职业健康与安全培训，包含政策、流程、特定健康与安全主题、工作目标与绩效</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制定有效的基层员工、外来访客的职业健康与安全沟通及改进计划，并定期分享改进成效</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10.符合：已按照要求开展职业健康与安全风险管理，且包含全部五项具体措施-请提供支持证据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5.待优化：已按照要求开展职业健康与安全风险管理，但缺少部分措施-请提供支持证据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0.不符合：尚未开展职业健康与安全风险管理-请说明原因</w:t>
            </w:r>
          </w:p>
        </w:tc>
      </w:tr>
    </w:tbl>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2.应急准备</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2.1贵司是否做好全面的应急准备和部署？（基础项）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2.1.1如回答为“是”，请勾选应急准备和部署的具体措施：</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配备充分、有效的火警探测、报警、灭火系统，并对其进行定期检查和维护（需要保证检查和维护记录）。便携式灭火器一般每月一次，探测和报警系统一般每半年一次</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制定充分、有效的应急预案和响应流程（定义涉及人员的具体角色、急救员的联系方式），以及紧急情况发生后的复盘计划和业务恢复计划</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保障各区域有数量足够、畅通有效的紧急出口和出口场地，以及应急支持设施，包含照明设备、出口标志、疏散通道、出口围栏</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所有工人和现场人员均必须参加火灾或其他疏散演习，应急演习需要涵盖所有工人、覆盖所有区域（包含生活区域）、按照至少每年一次的频率（具体参考地方法律）</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10.符合：已按照要求做好全面的应急准备和部署，且包含全部四项具体措施-请提供支持证据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5.待优化：已按照要求开展应急准备和部署，但缺少部分措施-请提供支持证据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0.不符合：尚未开展应急准备和部署-请说明原因</w:t>
            </w:r>
          </w:p>
        </w:tc>
      </w:tr>
    </w:tbl>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3.职业健康与安全管理认证</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3.1贵司是否获得职业健康与安全管理认证？（加分项）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10.符合：已获得健康与安全管理认证-请提供支持证据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5.待优化：正在开展健康与安全管理相关认证工作-请提供支持证据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0.不符合：尚未获得健康与安全管理认证，也无相关计划-请说明原因</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注：可接受的健康与安全管理认证包括但不限于：ISO</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45001职业健康安全管理体系</w:t>
            </w:r>
          </w:p>
        </w:tc>
      </w:tr>
    </w:tbl>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三、环境</w:t>
      </w:r>
    </w:p>
    <w:p>
      <w:pPr>
        <w:snapToGrid w:val="0"/>
        <w:spacing w:after="0" w:line="440" w:lineRule="exact"/>
        <w:ind w:firstLine="562" w:firstLineChars="200"/>
        <w:rPr>
          <w:rFonts w:ascii="Times New Roman" w:hAnsi="Times New Roman" w:eastAsia="仿宋_GB2312" w:cs="仿宋_GB2312"/>
          <w:sz w:val="28"/>
          <w:szCs w:val="28"/>
        </w:rPr>
      </w:pPr>
      <w:r>
        <w:rPr>
          <w:rFonts w:hint="eastAsia" w:ascii="Times New Roman" w:hAnsi="Times New Roman" w:eastAsia="仿宋_GB2312" w:cs="仿宋_GB2312"/>
          <w:b/>
          <w:bCs/>
          <w:sz w:val="28"/>
          <w:szCs w:val="28"/>
        </w:rPr>
        <w:t>（一）环境管理体系</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1.环境风险管理</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1.1贵司是否制定环境风险控制流程？</w:t>
      </w:r>
      <w:r>
        <w:rPr>
          <w:rFonts w:hint="eastAsia" w:ascii="Times New Roman" w:hAnsi="Times New Roman" w:eastAsia="仿宋_GB2312" w:cs="仿宋_GB2312"/>
          <w:sz w:val="28"/>
          <w:szCs w:val="28"/>
        </w:rPr>
        <w:t>（基础项）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1.1.1如回答为“是”，请勾选已制定和实施的具体控制流程：</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为公司/工厂所有员工明确分配与风险管理流程相匹配的职责与权限，包含委任高级管理人员、设立清晰的组织架构、确定负责不同环境议题的相关人员</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制定有效的环境影响控制流程，说明废弃物处理的管理链路，包含接收、存储、分配、处置、再利用；调查环境事件，并制定纠正性和预防性的行动计划；制定应急方案，明确方案包含的具体步骤和组织角色</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为公司/工厂所有员工开展环境培训课程，包含政策、流程、环境主题、工作目标与绩效</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10.符合：已制定环境风险控制流程，且该流程包含全部三项具体流程-请提供支持证据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5.待优化：已制定环境风险控制流程，但缺少部分流程-请提供支持证据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0.不符合：尚未制定环境风险控制流程-请说明原因</w:t>
            </w:r>
          </w:p>
        </w:tc>
      </w:tr>
    </w:tbl>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（二）应对气候变化</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1.温室气体排放目标</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1.1贵司是否制定了温室气体排放目标？（基础项）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10.符合：已经制定-请说明是否能够包含</w:t>
            </w:r>
            <w:r>
              <w:rPr>
                <w:rFonts w:hint="eastAsia" w:ascii="Calibri" w:hAnsi="Calibri" w:eastAsia="仿宋_GB2312" w:cs="Calibri"/>
                <w:sz w:val="28"/>
                <w:szCs w:val="28"/>
              </w:rPr>
              <w:t>范围</w:t>
            </w:r>
            <w:r>
              <w:rPr>
                <w:rFonts w:hint="eastAsia" w:ascii="Times New Roman" w:hAnsi="Times New Roman" w:eastAsia="仿宋_GB2312" w:cs="仿宋_GB2312"/>
                <w:sz w:val="28"/>
                <w:szCs w:val="28"/>
              </w:rPr>
              <w:t>1、2、3，并提供支持证据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5.待优化：正在制定过程中-请提供支持证据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0.不符合：尚未相关计划-请说明原因</w:t>
            </w:r>
          </w:p>
        </w:tc>
      </w:tr>
    </w:tbl>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2.温室气体排放认证</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2.1贵司是否获得温室气体排放相关认证？（加分项）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10.符合：已获得温室气体排放相关认证-请提供支持证据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5.待优化：正在开展温室气体排放相关认证工作-请提供支持证据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0.不符合：尚未获得温室气体排放相关认证，也无相关计划-请说明原因</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注：可接受的温室气体排放相关认证包括但不限于：</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 ISO 14067产品碳足迹认证</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-自愿性温室气体减排项目（CCER）认证</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-温室气体排放核查认证（ISO 14064）</w:t>
            </w:r>
          </w:p>
        </w:tc>
      </w:tr>
    </w:tbl>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（三）水资源</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1.水风险管理</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1.1贵司是否按照法律要求和行业标准监测、控制水资源与污水排放？（基础项）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1.1.1如回答为“是”，请勾选已实施的具体行动：</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针对运营所在地开展水风险分析</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定期监控污水排放情况，维护污水排放处理设备，包含：定期检查、维护污水排放处理设备，保留检查、维护记录，出具相关评估报告</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保留污水管理记录，包括库存记录、污水存储地、排放点检查、污水装载和运输等记录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10.符合：已按照要求管理水资源与污水排放，且包含全部三项具体行动-请提供支持证据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5.待优化：已按照要求管理水资源与污水排放，但缺少部分流程-请提供支持证据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0.不符合：尚未管理水资源与污水排放-请说明原因</w:t>
            </w:r>
          </w:p>
        </w:tc>
      </w:tr>
    </w:tbl>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（四）污染物和废弃物</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1.废气合规排放</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1.1贵司是否按照法律要求和行业标准处理废气排放？（基础项）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1.1.1如回答为“是”，请勾选已实施的具体行动：</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定期监控废气排放情况，维护废气排放系统，包含：定期检查、维护废气排放处理设备，保留检查、维护记录，出具相关评估报告</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罗列完整的废气排放清单，并每年评估现有工艺废气排放处理系统的完善性</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10.符合：已按照要求处理废气排放，且包含全部两项具体行动-请提供支持证据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5.待优化：已按照要求处理废气排放，但缺少部分流程-请提供支持证据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0.不符合：尚未管理废气排放-请说明原因</w:t>
            </w:r>
          </w:p>
        </w:tc>
      </w:tr>
    </w:tbl>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2.废弃物合规处置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2.1贵司是否按照法律要求和行业标准处理废弃物？（基础项）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2.1.1如回答为“是”，请勾选已实施的具体行动：</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定期监控废弃物处理情况，维护废弃物处理系统，包含：定期检查、维护废弃物处理设备，保留检查、维护记录，出具相关评估报告</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罗列完整的废弃物处理清单，并每年评估现有工艺废弃物处理系统的完善性</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10.符合：已按照要求处理废弃物，且包含全部两项具体行动-请提供支持证据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5.待优化：已按照要求管理废弃物处理，但缺少部分流程-请提供支持证据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0.不符合：尚未处理废弃物-请说明原因</w:t>
            </w:r>
          </w:p>
        </w:tc>
      </w:tr>
    </w:tbl>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（五）生态系统和生物多样性</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1.生态系统和生物多样性保护风险管理</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1.1贵司是否针对生态系统和生物多样性保护开展风险管理？（加分项）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1.1.1如回答为“是”，请勾选已制定和实施的具体风险管理环节：</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生态与生物多样性风险识别，包含项目选址生态敏感风险、供应链毁林风险、生物多样性影响风险</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生态与生物多样性风险评估，包括发生概率、影响程度</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生态与生物多样性风险应对策略制定，如规避、降低、转移</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生态与生物多样性风险监控与预警机制建立</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生态与生物多样性风险应急处置方案准备</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10.符合：已开展生态系统和生物多样性风险管理，且该管理环节包含全部五项具体流程-请提供支持证据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5.待优化：已开展生态系统和生物多样性风险管理，但缺少部分流程-请提供支持证据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0.不符合：尚未开展生态系统和生物多样性风险管理-请说明原因</w:t>
            </w:r>
          </w:p>
        </w:tc>
      </w:tr>
    </w:tbl>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四、商业行为</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（一）商业道德</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1.商业行为准则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1.1贵司是否公开发布《商业行为准则》？（基础项）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1.1.1如回答为“是”，请勾选该准则覆盖的商业行为议题：</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合规经营</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反不正当竞争</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反腐败</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保护知识产权</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保护数据隐私</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利益冲突申报</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完善申诉机制</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10.符合：已制定和公开发布《商业行为准则》，并包含全部七项要素-请提供政策文件的公开链接</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5.待优化：具备内部同类政策但未公开发布或仅包含七项要素中的部分要素-请提供支持证据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0.不符合：尚无相关政策-请说明原因</w:t>
            </w:r>
          </w:p>
        </w:tc>
      </w:tr>
    </w:tbl>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（二）可持续采购</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1.关键供应商识别</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1.1贵司是否识别关键供应商？（加分项）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1.1.1如回答为“是”，请勾选识别原则：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业务相关性，包括但不限于采购支出、供应商关键性</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ESG风险水平</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10.符合：已经识别关键供应商，并兼顾两项原则-请提供支持证据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5.待优化：已经识别关键供应商，但仅依据业务相关性-请提供支持证据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0.不符合：尚未识别关键供应商-请说明原因</w:t>
            </w:r>
          </w:p>
        </w:tc>
      </w:tr>
    </w:tbl>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2.关键供应商管理</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2.1贵司是否制定有效程序以确保关键供应商执行公司的可持续采购管理和实践要求？（加分项）</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2.1.1如回答为“是”，请勾选该程序包含的要素：</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管理事项内部程序文件</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管理事项供应商传递机制</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管理事项供应商评价机制</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管理事项供应商激励机制</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10.符合：已经制定确保关键供应商执行公司的可持续采购管理和实践要求的有效程序，并包含全部四项要素-请提供支持证据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5.待优化：已经制定可持续采购管理程序，但缺少部分要素-请提供支持证据</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0.不符合：尚未制定可持续采购管理程序-请说明原因</w:t>
            </w:r>
          </w:p>
        </w:tc>
      </w:tr>
    </w:tbl>
    <w:p>
      <w:pPr>
        <w:snapToGrid w:val="0"/>
        <w:spacing w:after="0" w:line="360" w:lineRule="auto"/>
        <w:rPr>
          <w:rFonts w:ascii="Times New Roman" w:hAnsi="Times New Roman" w:eastAsia="方正仿宋_GB2312" w:cs="方正仿宋_GB2312"/>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24F3D"/>
    <w:rsid w:val="2362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2026-06-03T09:01:00Z</dcterms:created>
  <dc:creator>杨玲04</dc:creator>
  <cp:lastModifiedBy>杨玲04</cp:lastModifiedBy>
  <dcterms:modified xsi:type="dcterms:W3CDTF">2026-06-03T09:01:51Z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497BB193363945FD8A1FB8620B2CF68F</vt:lpwstr>
  </property>
</Properties>
</file>