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255"/>
          <w:numId w:val="0"/>
        </w:numPr>
        <w:spacing w:after="0" w:line="560" w:lineRule="exact"/>
        <w:jc w:val="left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附件1</w:t>
      </w:r>
    </w:p>
    <w:p>
      <w:pPr>
        <w:pStyle w:val="6"/>
        <w:numPr>
          <w:ilvl w:val="255"/>
          <w:numId w:val="0"/>
        </w:numPr>
        <w:spacing w:line="560" w:lineRule="exact"/>
        <w:jc w:val="center"/>
        <w:rPr>
          <w:rFonts w:ascii="Times New Roman" w:hAnsi="Times New Roman" w:eastAsia="方正仿宋_GB2312" w:cs="方正仿宋_GB2312"/>
          <w:snapToGrid w:val="0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供应商行为准则</w:t>
      </w:r>
    </w:p>
    <w:bookmarkEnd w:id="0"/>
    <w:p>
      <w:pPr>
        <w:snapToGrid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>
      <w:pPr>
        <w:pStyle w:val="3"/>
        <w:snapToGrid w:val="0"/>
        <w:spacing w:before="0"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中国神华积极开展环境、社会和治理（以下简称ESG）管理，将可持续发展理念融入企业战略和经营管理中，并推进各方共同参与。为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lang w:val="en-US" w:eastAsia="zh-CN"/>
        </w:rPr>
        <w:t>明确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供应商的行为规范，依据国际标准，结合公司实际，提出以下行为准则：</w:t>
      </w:r>
    </w:p>
    <w:p>
      <w:pPr>
        <w:pStyle w:val="3"/>
        <w:snapToGrid w:val="0"/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snapToGrid w:val="0"/>
          <w:color w:val="000000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</w:rPr>
        <w:t>一、劳动与人权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禁止雇佣童工：鉴别应聘者年龄，发现童工立即停止工作并依法报备。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禁止强迫劳动：禁止强制劳动或非自愿劳动，杜绝限制员工行动自由的行为。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保障工作条件：遵守工作时间的规定，按时足额支付工资（工资不低于法定标准、行业标准或集体协议标准中较高者），依法提供福利。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保障职业健康安全：提供安全工作环境，建立职业健康安全管理体系；建立工伤预防、报告、处理机制，购买工伤保险；定期组织职业病检查并建档，对职业病患者及时治疗并调岗保护。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反歧视与骚扰：禁止因种族、性别、年龄、残疾等因素歧视员工，禁止暴力惩戒及非人道对待员工。</w:t>
      </w:r>
    </w:p>
    <w:p>
      <w:pPr>
        <w:pStyle w:val="3"/>
        <w:snapToGrid w:val="0"/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snapToGrid w:val="0"/>
          <w:color w:val="000000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</w:rPr>
        <w:t>二、社会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应急准备：识别潜在紧急情况，制定并实施应急预案，最大限度降低对生命、环境和财产的损害。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社区参与与发展：尊重当地文化及合法权益，避免损害社区利益；项目开展前与社区居民充分沟通，减少负面影响。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践行负责任采购：不采购或使用违反劳工权益的产品或原材料，遵守所在地法律及本行为准则的要求。</w:t>
      </w:r>
    </w:p>
    <w:p>
      <w:pPr>
        <w:pStyle w:val="3"/>
        <w:snapToGrid w:val="0"/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snapToGrid w:val="0"/>
          <w:color w:val="000000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</w:rPr>
        <w:t>三、环境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合规管理：遵守环境法规，主动向中国神华披露近三年重大环境事故，不得隐瞒违法违规行为。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节约资源：提高资源使用效率，采用节能环保技术，促进节能减排。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防治污染：减少固体废弃物、大气污染物、废水等环境污染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lang w:val="en-US" w:eastAsia="zh-CN"/>
        </w:rPr>
        <w:t>物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排放，排放前按要求鉴别、监测、控制和处理。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有害物质管理：识别并安全运输、存储、使用、回收或处置有害物质。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应对气候变化：支持全球气候协定目标，寻找节能减排途径；识别温室气体排放并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lang w:val="en-US" w:eastAsia="zh-CN"/>
        </w:rPr>
        <w:t>设定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减排目标。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保护生物多样性：遵守法律规定，制定生物多样性保护措施，避免经济活动对生物多样性的负面影响。</w:t>
      </w:r>
    </w:p>
    <w:p>
      <w:pPr>
        <w:pStyle w:val="3"/>
        <w:snapToGrid w:val="0"/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snapToGrid w:val="0"/>
          <w:color w:val="000000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</w:rPr>
        <w:t>四、商业道德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遵守法律法规：遵守相关法律法规、部门规章、政策及行业标准。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反不正当竞争：维护公平竞争，禁止垄断、恶意低价倾销、商业诋毁等不正当手段。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反腐败：制定反腐败政策，禁止索取、收受或提供贿赂、回扣等不正当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lang w:val="en-US" w:eastAsia="zh-CN"/>
        </w:rPr>
        <w:t>行为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。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保护知识产权：建立完善的知识产权管理体系，尊重他人知识产权，避免侵权行为发生。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保护数据隐私：遵守数据隐私法规，不得擅自泄露客户数据信息与隐私或将其用于约定外用途。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解决利益冲突：建立利益冲突申报机制，要求员工主动申报与业务相关的个人利益关联。</w:t>
      </w:r>
    </w:p>
    <w:p>
      <w:pPr>
        <w:pStyle w:val="3"/>
        <w:numPr>
          <w:ilvl w:val="0"/>
          <w:numId w:val="1"/>
        </w:numPr>
        <w:snapToGrid w:val="0"/>
        <w:spacing w:before="0" w:after="0" w:line="560" w:lineRule="exact"/>
        <w:ind w:left="0" w:firstLine="640"/>
        <w:jc w:val="both"/>
        <w:rPr>
          <w:rFonts w:ascii="仿宋_GB2312" w:hAnsi="仿宋_GB2312" w:eastAsia="仿宋_GB2312" w:cs="仿宋_GB2312"/>
          <w:b w:val="0"/>
          <w:bCs w:val="0"/>
          <w:snapToGrid w:val="0"/>
          <w:color w:val="000000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建立申诉机制：设立便捷可靠的申诉渠道，支持匿名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lang w:val="en-US" w:eastAsia="zh-CN"/>
        </w:rPr>
        <w:t>申诉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</w:rPr>
        <w:t>，保护申诉人安全，禁止打击报复，及时处理反馈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9DD941"/>
    <w:multiLevelType w:val="singleLevel"/>
    <w:tmpl w:val="969DD941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46B9B"/>
    <w:rsid w:val="1104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2026-06-03T09:02:00Z</dcterms:created>
  <dc:creator>杨玲04</dc:creator>
  <cp:lastModifiedBy>杨玲04</cp:lastModifiedBy>
  <dcterms:modified xsi:type="dcterms:W3CDTF">2026-06-03T09:03:07Z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E57746A41ED54AF4BBEB4BD51270B830</vt:lpwstr>
  </property>
</Properties>
</file>